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31" w:rsidRPr="00775E31" w:rsidRDefault="00775E31" w:rsidP="00775E31">
      <w:pPr>
        <w:rPr>
          <w:rFonts w:eastAsia="Times New Roman"/>
        </w:rPr>
      </w:pPr>
      <w:r w:rsidRPr="00775E31">
        <w:rPr>
          <w:rFonts w:eastAsia="Times New Roman"/>
        </w:rPr>
        <w:t>Цены на оказание услуг в охотничьей усадьбе "</w:t>
      </w:r>
      <w:proofErr w:type="spellStart"/>
      <w:r w:rsidRPr="00775E31">
        <w:rPr>
          <w:rFonts w:eastAsia="Times New Roman"/>
        </w:rPr>
        <w:t>Фольварк-Бельчо</w:t>
      </w:r>
      <w:proofErr w:type="spellEnd"/>
      <w:r w:rsidRPr="00775E31">
        <w:rPr>
          <w:rFonts w:eastAsia="Times New Roman"/>
        </w:rPr>
        <w:t>"</w:t>
      </w:r>
    </w:p>
    <w:p w:rsidR="00775E31" w:rsidRPr="00775E31" w:rsidRDefault="00775E31" w:rsidP="00775E31">
      <w:pPr>
        <w:rPr>
          <w:rFonts w:eastAsia="Times New Roman"/>
          <w:color w:val="333333"/>
          <w:sz w:val="2"/>
          <w:szCs w:val="2"/>
        </w:rPr>
      </w:pPr>
      <w:r w:rsidRPr="00775E31">
        <w:rPr>
          <w:rFonts w:eastAsia="Times New Roman"/>
          <w:color w:val="333333"/>
          <w:sz w:val="2"/>
          <w:szCs w:val="2"/>
        </w:rPr>
        <w:t> </w:t>
      </w:r>
    </w:p>
    <w:p w:rsidR="00775E31" w:rsidRPr="00775E31" w:rsidRDefault="00775E31" w:rsidP="00775E31">
      <w:pPr>
        <w:rPr>
          <w:rFonts w:eastAsia="Times New Roman"/>
          <w:color w:val="333333"/>
          <w:sz w:val="21"/>
          <w:szCs w:val="21"/>
        </w:rPr>
      </w:pPr>
      <w:r w:rsidRPr="00775E31">
        <w:rPr>
          <w:rFonts w:eastAsia="Times New Roman"/>
          <w:color w:val="FF0000"/>
          <w:sz w:val="28"/>
        </w:rPr>
        <w:t>Для граждан РБ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2301"/>
        <w:gridCol w:w="3882"/>
        <w:gridCol w:w="1045"/>
        <w:gridCol w:w="1582"/>
      </w:tblGrid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без НДС, рублей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стиле Фахверк (4 места)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охотника (8 мест)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 стиле Шале (3 места)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  Скандинавском стиле (6 мест)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  стиле Прованс (4 мест)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мест)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 за домик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1 чел. в сутки в летний период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 1 чел. в сутки в отопительный период </w:t>
            </w:r>
            <w:proofErr w:type="spellStart"/>
            <w:proofErr w:type="gram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proofErr w:type="gramEnd"/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пользование кухней, холодильником, посудой,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постельных принадлежностей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1 человека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бильярда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 пользование баней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  оказания услуг бани из расчета 5 человек.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 банный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Простынь в баню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мангала с шампурами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дров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автомобиля на территории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беседки вместимостью до 80 человек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беседки  от 5-10 чел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комплекса 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Проживание, пользование баней, беседкой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775E31" w:rsidRPr="00775E31" w:rsidTr="00775E3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«Между Днепром и Березиной. Историческое путешествие по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Жлобинской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2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Автобус, экскурсовод, питание </w:t>
            </w:r>
            <w:proofErr w:type="spellStart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ланч-бокс</w:t>
            </w:r>
            <w:proofErr w:type="spellEnd"/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8 человек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E31" w:rsidRPr="00775E31" w:rsidRDefault="00775E31" w:rsidP="00775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31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</w:tbl>
    <w:p w:rsidR="00D23B9A" w:rsidRDefault="00D23B9A"/>
    <w:sectPr w:rsidR="00D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E31"/>
    <w:rsid w:val="00775E31"/>
    <w:rsid w:val="00D2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1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2021-04-14T13:49:00Z</dcterms:created>
  <dcterms:modified xsi:type="dcterms:W3CDTF">2021-04-14T13:50:00Z</dcterms:modified>
</cp:coreProperties>
</file>